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autoSpaceDE w:val="0"/>
        <w:autoSpaceDN w:val="0"/>
        <w:adjustRightInd w:val="0"/>
        <w:jc w:val="center"/>
        <w:outlineLvl w:val="0"/>
      </w:pPr>
      <w:r>
        <w:rPr>
          <w:noProof/>
        </w:rPr>
        <w:drawing>
          <wp:inline distT="0" distB="0" distL="0" distR="0">
            <wp:extent cx="6300470" cy="8905875"/>
            <wp:effectExtent l="0" t="0" r="508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0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jc w:val="center"/>
        <w:outlineLvl w:val="0"/>
      </w:pPr>
    </w:p>
    <w:p>
      <w:pPr>
        <w:autoSpaceDE w:val="0"/>
        <w:autoSpaceDN w:val="0"/>
        <w:adjustRightInd w:val="0"/>
        <w:jc w:val="center"/>
        <w:outlineLvl w:val="0"/>
        <w:rPr>
          <w:b/>
        </w:rPr>
      </w:pPr>
    </w:p>
    <w:p>
      <w:pPr>
        <w:autoSpaceDE w:val="0"/>
        <w:autoSpaceDN w:val="0"/>
        <w:adjustRightInd w:val="0"/>
        <w:jc w:val="center"/>
        <w:outlineLvl w:val="0"/>
        <w:rPr>
          <w:b/>
        </w:rPr>
      </w:pPr>
    </w:p>
    <w:p>
      <w:pPr>
        <w:autoSpaceDE w:val="0"/>
        <w:autoSpaceDN w:val="0"/>
        <w:adjustRightInd w:val="0"/>
        <w:jc w:val="center"/>
        <w:outlineLvl w:val="0"/>
        <w:rPr>
          <w:b/>
        </w:rPr>
      </w:pPr>
    </w:p>
    <w:p>
      <w:pPr>
        <w:autoSpaceDE w:val="0"/>
        <w:autoSpaceDN w:val="0"/>
        <w:adjustRightInd w:val="0"/>
        <w:jc w:val="center"/>
        <w:outlineLvl w:val="0"/>
        <w:rPr>
          <w:b/>
        </w:rPr>
      </w:pPr>
    </w:p>
    <w:p>
      <w:pPr>
        <w:autoSpaceDE w:val="0"/>
        <w:autoSpaceDN w:val="0"/>
        <w:adjustRightInd w:val="0"/>
        <w:jc w:val="center"/>
        <w:outlineLvl w:val="0"/>
        <w:rPr>
          <w:b/>
        </w:rPr>
      </w:pPr>
    </w:p>
    <w:p>
      <w:pPr>
        <w:autoSpaceDE w:val="0"/>
        <w:autoSpaceDN w:val="0"/>
        <w:adjustRightInd w:val="0"/>
        <w:jc w:val="center"/>
        <w:outlineLvl w:val="0"/>
        <w:rPr>
          <w:b/>
        </w:rPr>
      </w:pPr>
      <w:r>
        <w:rPr>
          <w:b/>
        </w:rPr>
        <w:t xml:space="preserve">ПОЛОЖЕНИЕ </w:t>
      </w:r>
    </w:p>
    <w:p>
      <w:pPr>
        <w:autoSpaceDE w:val="0"/>
        <w:autoSpaceDN w:val="0"/>
        <w:adjustRightInd w:val="0"/>
        <w:jc w:val="center"/>
        <w:outlineLvl w:val="0"/>
        <w:rPr>
          <w:b/>
        </w:rPr>
      </w:pPr>
      <w:r>
        <w:t>О РАСПРЕДЕЛЕНИИ</w:t>
      </w:r>
      <w:r>
        <w:rPr>
          <w:b/>
        </w:rPr>
        <w:t xml:space="preserve"> СТИМУЛИРУЮЩЕЙ </w:t>
      </w:r>
    </w:p>
    <w:p>
      <w:pPr>
        <w:autoSpaceDE w:val="0"/>
        <w:autoSpaceDN w:val="0"/>
        <w:adjustRightInd w:val="0"/>
        <w:jc w:val="center"/>
        <w:outlineLvl w:val="0"/>
      </w:pPr>
      <w:r>
        <w:t xml:space="preserve">ЧАСТИ ЗАРАБОТНОЙ ПЛАТЫ  </w:t>
      </w:r>
    </w:p>
    <w:p>
      <w:pPr>
        <w:autoSpaceDE w:val="0"/>
        <w:autoSpaceDN w:val="0"/>
        <w:adjustRightInd w:val="0"/>
        <w:jc w:val="center"/>
        <w:outlineLvl w:val="0"/>
      </w:pPr>
      <w:r>
        <w:t xml:space="preserve"> ПЕДАГОГИЧЕСКИМ РАБОТНИКАМ </w:t>
      </w:r>
    </w:p>
    <w:p>
      <w:pPr>
        <w:autoSpaceDE w:val="0"/>
        <w:autoSpaceDN w:val="0"/>
        <w:adjustRightInd w:val="0"/>
        <w:jc w:val="center"/>
        <w:outlineLvl w:val="0"/>
      </w:pPr>
      <w:r>
        <w:t xml:space="preserve"> «Детский сад комбинированного вида № 29»</w:t>
      </w:r>
    </w:p>
    <w:p>
      <w:pPr>
        <w:autoSpaceDE w:val="0"/>
        <w:autoSpaceDN w:val="0"/>
        <w:adjustRightInd w:val="0"/>
        <w:jc w:val="center"/>
        <w:outlineLvl w:val="0"/>
      </w:pPr>
    </w:p>
    <w:p>
      <w:pPr>
        <w:autoSpaceDE w:val="0"/>
        <w:autoSpaceDN w:val="0"/>
        <w:adjustRightInd w:val="0"/>
        <w:jc w:val="center"/>
        <w:outlineLvl w:val="0"/>
      </w:pPr>
      <w:r>
        <w:t>Указа Президента РФ от 07.05.2012 г. № 597</w:t>
      </w:r>
    </w:p>
    <w:p>
      <w:pPr>
        <w:autoSpaceDE w:val="0"/>
        <w:autoSpaceDN w:val="0"/>
        <w:adjustRightInd w:val="0"/>
        <w:jc w:val="center"/>
        <w:outlineLvl w:val="0"/>
      </w:pPr>
      <w:r>
        <w:t xml:space="preserve"> «О мероприятиях по реализации государственной социальной политики»</w:t>
      </w:r>
    </w:p>
    <w:p>
      <w:pPr>
        <w:autoSpaceDE w:val="0"/>
        <w:autoSpaceDN w:val="0"/>
        <w:adjustRightInd w:val="0"/>
        <w:jc w:val="center"/>
        <w:outlineLvl w:val="0"/>
      </w:pPr>
    </w:p>
    <w:p>
      <w:pPr>
        <w:pStyle w:val="a3"/>
        <w:numPr>
          <w:ilvl w:val="0"/>
          <w:numId w:val="1"/>
        </w:numPr>
        <w:autoSpaceDE w:val="0"/>
        <w:autoSpaceDN w:val="0"/>
        <w:adjustRightInd w:val="0"/>
        <w:jc w:val="center"/>
        <w:outlineLvl w:val="0"/>
      </w:pPr>
      <w:r>
        <w:t>Общие   положения</w:t>
      </w:r>
    </w:p>
    <w:p>
      <w:pPr>
        <w:autoSpaceDE w:val="0"/>
        <w:autoSpaceDN w:val="0"/>
        <w:adjustRightInd w:val="0"/>
        <w:outlineLvl w:val="0"/>
      </w:pPr>
    </w:p>
    <w:p>
      <w:pPr>
        <w:pStyle w:val="a3"/>
        <w:numPr>
          <w:ilvl w:val="1"/>
          <w:numId w:val="1"/>
        </w:numPr>
        <w:autoSpaceDE w:val="0"/>
        <w:autoSpaceDN w:val="0"/>
        <w:adjustRightInd w:val="0"/>
        <w:outlineLvl w:val="0"/>
      </w:pPr>
      <w:r>
        <w:t>Настоящее положение разработано на основании следующих документов:</w:t>
      </w:r>
    </w:p>
    <w:p>
      <w:pPr>
        <w:pStyle w:val="a3"/>
        <w:numPr>
          <w:ilvl w:val="0"/>
          <w:numId w:val="3"/>
        </w:numPr>
        <w:autoSpaceDE w:val="0"/>
        <w:autoSpaceDN w:val="0"/>
        <w:adjustRightInd w:val="0"/>
        <w:outlineLvl w:val="0"/>
      </w:pPr>
      <w:r>
        <w:t>Указа Президента РФ от 07.05.2012 г. № 597 «О мероприятиях по реализации государственной социальной политики»</w:t>
      </w:r>
    </w:p>
    <w:p>
      <w:pPr>
        <w:pStyle w:val="a3"/>
        <w:numPr>
          <w:ilvl w:val="0"/>
          <w:numId w:val="3"/>
        </w:numPr>
        <w:autoSpaceDE w:val="0"/>
        <w:autoSpaceDN w:val="0"/>
        <w:adjustRightInd w:val="0"/>
        <w:ind w:firstLine="120"/>
        <w:outlineLvl w:val="0"/>
      </w:pPr>
      <w:r>
        <w:t>Положения ИК МО «ЛМР» РТ, «УО» ИК МО «ЛМР» РТ «Положение о распределении стимулирующей части оплаты труда»</w:t>
      </w:r>
    </w:p>
    <w:p>
      <w:pPr>
        <w:autoSpaceDE w:val="0"/>
        <w:autoSpaceDN w:val="0"/>
        <w:adjustRightInd w:val="0"/>
        <w:ind w:left="360"/>
        <w:outlineLvl w:val="0"/>
      </w:pPr>
    </w:p>
    <w:p>
      <w:pPr>
        <w:pStyle w:val="a3"/>
        <w:numPr>
          <w:ilvl w:val="1"/>
          <w:numId w:val="1"/>
        </w:numPr>
        <w:autoSpaceDE w:val="0"/>
        <w:autoSpaceDN w:val="0"/>
        <w:adjustRightInd w:val="0"/>
        <w:outlineLvl w:val="0"/>
      </w:pPr>
      <w:r>
        <w:t xml:space="preserve">Настоящее </w:t>
      </w:r>
      <w:proofErr w:type="gramStart"/>
      <w:r>
        <w:t>Положение  о</w:t>
      </w:r>
      <w:proofErr w:type="gramEnd"/>
      <w:r>
        <w:t xml:space="preserve"> распределении стимулирующей части заработной платы  в  Детском саду комбинированного вида № 29 г. Лениногорска.  Разработано в целях доведения средней заработной платы педагогическим работникам, усиления материальной </w:t>
      </w:r>
      <w:proofErr w:type="gramStart"/>
      <w:r>
        <w:t>заинтересованности  работников</w:t>
      </w:r>
      <w:proofErr w:type="gramEnd"/>
      <w:r>
        <w:t xml:space="preserve">. </w:t>
      </w:r>
    </w:p>
    <w:p>
      <w:pPr>
        <w:pStyle w:val="a3"/>
        <w:autoSpaceDE w:val="0"/>
        <w:autoSpaceDN w:val="0"/>
        <w:adjustRightInd w:val="0"/>
        <w:outlineLvl w:val="0"/>
      </w:pPr>
    </w:p>
    <w:p>
      <w:pPr>
        <w:pStyle w:val="a3"/>
        <w:numPr>
          <w:ilvl w:val="1"/>
          <w:numId w:val="1"/>
        </w:numPr>
        <w:autoSpaceDE w:val="0"/>
        <w:autoSpaceDN w:val="0"/>
        <w:adjustRightInd w:val="0"/>
        <w:outlineLvl w:val="0"/>
      </w:pPr>
      <w:r>
        <w:t xml:space="preserve"> Регулирует порядок и </w:t>
      </w:r>
      <w:proofErr w:type="gramStart"/>
      <w:r>
        <w:t>условия  установления</w:t>
      </w:r>
      <w:proofErr w:type="gramEnd"/>
      <w:r>
        <w:t xml:space="preserve"> и доведения средней заработной платы педагогическим работникам образовательных учреждений общего образования и  педагогическим работникам   муниципального образования «Лениногорский муниципальный район»  Республики Татарстан,   до средней заработной платы, в исполнении Указа Президента РФ от 07.05.2012 г. № 597 «О мероприятиях по реализации государственной социальной политики».</w:t>
      </w:r>
    </w:p>
    <w:p>
      <w:pPr>
        <w:pStyle w:val="a3"/>
      </w:pPr>
    </w:p>
    <w:p>
      <w:pPr>
        <w:pStyle w:val="a3"/>
        <w:numPr>
          <w:ilvl w:val="1"/>
          <w:numId w:val="1"/>
        </w:numPr>
        <w:autoSpaceDE w:val="0"/>
        <w:autoSpaceDN w:val="0"/>
        <w:adjustRightInd w:val="0"/>
        <w:outlineLvl w:val="0"/>
      </w:pPr>
      <w:r>
        <w:t xml:space="preserve"> Настоящее положение является локальным нормативным актом, регламентирующим распределение стимулирующей части оплаты труда работников. </w:t>
      </w:r>
    </w:p>
    <w:p>
      <w:pPr>
        <w:pStyle w:val="a3"/>
        <w:autoSpaceDE w:val="0"/>
        <w:autoSpaceDN w:val="0"/>
        <w:adjustRightInd w:val="0"/>
        <w:outlineLvl w:val="0"/>
      </w:pPr>
    </w:p>
    <w:p>
      <w:pPr>
        <w:pStyle w:val="a3"/>
        <w:numPr>
          <w:ilvl w:val="1"/>
          <w:numId w:val="1"/>
        </w:numPr>
        <w:autoSpaceDE w:val="0"/>
        <w:autoSpaceDN w:val="0"/>
        <w:adjustRightInd w:val="0"/>
        <w:outlineLvl w:val="0"/>
      </w:pPr>
      <w:r>
        <w:t xml:space="preserve">Стимулирование </w:t>
      </w:r>
      <w:proofErr w:type="gramStart"/>
      <w:r>
        <w:t>педагогических  работников</w:t>
      </w:r>
      <w:proofErr w:type="gramEnd"/>
      <w:r>
        <w:t xml:space="preserve"> производится за счет средств дополнительного финансирования, распределённого пропорционально количеству   педагогических работников.</w:t>
      </w:r>
    </w:p>
    <w:p>
      <w:pPr>
        <w:pStyle w:val="a3"/>
      </w:pPr>
    </w:p>
    <w:p>
      <w:pPr>
        <w:pStyle w:val="a3"/>
        <w:numPr>
          <w:ilvl w:val="1"/>
          <w:numId w:val="1"/>
        </w:numPr>
        <w:spacing w:before="100" w:beforeAutospacing="1" w:after="100" w:afterAutospacing="1"/>
      </w:pPr>
      <w:r>
        <w:t xml:space="preserve"> В настоящем Положении используются следующие понятия и определения:</w:t>
      </w:r>
    </w:p>
    <w:p>
      <w:pPr>
        <w:spacing w:before="100" w:beforeAutospacing="1" w:after="100" w:afterAutospacing="1"/>
      </w:pPr>
      <w:r>
        <w:rPr>
          <w:b/>
          <w:bCs/>
          <w:i/>
          <w:iCs/>
        </w:rPr>
        <w:t>Баллы</w:t>
      </w:r>
      <w:r>
        <w:rPr>
          <w:b/>
          <w:bCs/>
        </w:rPr>
        <w:t xml:space="preserve"> </w:t>
      </w:r>
      <w:r>
        <w:t>– фиксированная единица оценивания труда педагогического работника. Максимальное количество возможных к начислению баллов на одного педагогического работника в месяц составляет 60 баллов.</w:t>
      </w:r>
    </w:p>
    <w:p>
      <w:pPr>
        <w:spacing w:before="100" w:beforeAutospacing="1" w:after="100" w:afterAutospacing="1"/>
      </w:pPr>
      <w:r>
        <w:rPr>
          <w:b/>
          <w:bCs/>
          <w:i/>
          <w:iCs/>
        </w:rPr>
        <w:t>Стоимость балла</w:t>
      </w:r>
      <w:r>
        <w:t xml:space="preserve"> – фиксированная сумма денежных средств, формируется исходя из фонда заработной платы.</w:t>
      </w:r>
    </w:p>
    <w:p>
      <w:pPr>
        <w:spacing w:before="100" w:beforeAutospacing="1" w:after="100" w:afterAutospacing="1"/>
      </w:pPr>
      <w:r>
        <w:rPr>
          <w:b/>
          <w:bCs/>
          <w:i/>
          <w:iCs/>
        </w:rPr>
        <w:t>Выплаты стимулирующего характера</w:t>
      </w:r>
      <w:r>
        <w:t xml:space="preserve"> – доплаты и надбавки стимулирующего характера, премии и иные поощрительные выплаты.</w:t>
      </w:r>
    </w:p>
    <w:p>
      <w:pPr>
        <w:spacing w:before="100" w:beforeAutospacing="1" w:after="100" w:afterAutospacing="1"/>
      </w:pPr>
      <w:r>
        <w:rPr>
          <w:b/>
          <w:bCs/>
          <w:i/>
          <w:iCs/>
        </w:rPr>
        <w:t xml:space="preserve">Периодичность изменения </w:t>
      </w:r>
      <w:r>
        <w:t xml:space="preserve">– время распределения баллов по тому или иному критерию (месяц, четверть, полугодие, год). </w:t>
      </w:r>
    </w:p>
    <w:p>
      <w:pPr>
        <w:spacing w:before="100" w:beforeAutospacing="1" w:after="100" w:afterAutospacing="1"/>
        <w:jc w:val="center"/>
        <w:rPr>
          <w:b/>
          <w:bCs/>
        </w:rPr>
      </w:pPr>
    </w:p>
    <w:p>
      <w:pPr>
        <w:spacing w:before="100" w:beforeAutospacing="1" w:after="100" w:afterAutospacing="1"/>
        <w:jc w:val="center"/>
      </w:pPr>
      <w:bookmarkStart w:id="0" w:name="_GoBack"/>
      <w:bookmarkEnd w:id="0"/>
      <w:r>
        <w:rPr>
          <w:b/>
          <w:bCs/>
        </w:rPr>
        <w:t>2.  Формирование фонда стимулирующих выплат</w:t>
      </w:r>
    </w:p>
    <w:p>
      <w:pPr>
        <w:spacing w:before="100" w:beforeAutospacing="1" w:after="100" w:afterAutospacing="1"/>
      </w:pPr>
      <w:r>
        <w:t xml:space="preserve">2.1. Фонд стимулирующих выплат формируется за </w:t>
      </w:r>
      <w:proofErr w:type="gramStart"/>
      <w:r>
        <w:t>счет  средств</w:t>
      </w:r>
      <w:proofErr w:type="gramEnd"/>
      <w:r>
        <w:t xml:space="preserve"> дополнительного финансирования. </w:t>
      </w:r>
    </w:p>
    <w:p>
      <w:pPr>
        <w:spacing w:before="100" w:beforeAutospacing="1" w:after="100" w:afterAutospacing="1"/>
      </w:pPr>
      <w:r>
        <w:t>2.2. Фонд стимулирующих выплат не может быть использован на иные цели, кроме премирования педагогических работников.</w:t>
      </w:r>
    </w:p>
    <w:p>
      <w:pPr>
        <w:spacing w:before="100" w:beforeAutospacing="1" w:after="100" w:afterAutospacing="1"/>
        <w:jc w:val="center"/>
        <w:rPr>
          <w:b/>
        </w:rPr>
      </w:pPr>
      <w:r>
        <w:rPr>
          <w:b/>
        </w:rPr>
        <w:t>3. Порядок распределения стимулирующей части фонда оплаты труда.</w:t>
      </w:r>
    </w:p>
    <w:p>
      <w:pPr>
        <w:spacing w:before="100" w:beforeAutospacing="1" w:after="100" w:afterAutospacing="1"/>
      </w:pPr>
      <w:r>
        <w:t xml:space="preserve">3.1. Показателем для стимулирующих выплат педагогическим работником является критерий эффективности деятельности сотрудника.  (приказ МО и Н </w:t>
      </w:r>
      <w:proofErr w:type="gramStart"/>
      <w:r>
        <w:t>РТ  19.05.2015</w:t>
      </w:r>
      <w:proofErr w:type="gramEnd"/>
      <w:r>
        <w:t xml:space="preserve"> № 6162/15).</w:t>
      </w:r>
    </w:p>
    <w:p>
      <w:pPr>
        <w:spacing w:before="100" w:beforeAutospacing="1" w:after="100" w:afterAutospacing="1"/>
      </w:pPr>
      <w:r>
        <w:t>3.2. Основанием для определения размера выплат стимулирующего характера педагогических работников, является протокол заседания комиссии по распределению премий.</w:t>
      </w:r>
    </w:p>
    <w:p>
      <w:pPr>
        <w:spacing w:before="100" w:beforeAutospacing="1" w:after="100" w:afterAutospacing="1"/>
      </w:pPr>
      <w:r>
        <w:t xml:space="preserve">3.3. </w:t>
      </w:r>
      <w:proofErr w:type="gramStart"/>
      <w:r>
        <w:t>Стимулирование  педагогических</w:t>
      </w:r>
      <w:proofErr w:type="gramEnd"/>
      <w:r>
        <w:t xml:space="preserve"> работников осуществляется в соответствии с результатами деятельности на основании данных оценочного листа, утвержденного комиссией, созданной по приказу заведующего ДОУ</w:t>
      </w:r>
    </w:p>
    <w:p>
      <w:pPr>
        <w:spacing w:before="100" w:beforeAutospacing="1" w:after="100" w:afterAutospacing="1"/>
      </w:pPr>
      <w:r>
        <w:t xml:space="preserve">3.4.  В оценочном листе производится оценка трудового участия работника с применением критериев работы данной категории сотрудников. </w:t>
      </w:r>
    </w:p>
    <w:p>
      <w:pPr>
        <w:spacing w:before="100" w:beforeAutospacing="1" w:after="100" w:afterAutospacing="1"/>
      </w:pPr>
      <w:r>
        <w:t>3.5. Ответственность за полноту и достоверность представленных сведений для стимулирования возлагается на руководителя учреждения.</w:t>
      </w:r>
    </w:p>
    <w:p>
      <w:pPr>
        <w:spacing w:before="100" w:beforeAutospacing="1" w:after="100" w:afterAutospacing="1"/>
      </w:pPr>
      <w:r>
        <w:t xml:space="preserve">3.6. Показатели оценки деятельности </w:t>
      </w:r>
      <w:proofErr w:type="gramStart"/>
      <w:r>
        <w:t>работника  по</w:t>
      </w:r>
      <w:proofErr w:type="gramEnd"/>
      <w:r>
        <w:t xml:space="preserve"> критериям определяется количеством баллов в течении шести месяцев.</w:t>
      </w:r>
    </w:p>
    <w:p>
      <w:pPr>
        <w:spacing w:before="100" w:beforeAutospacing="1" w:after="100" w:afterAutospacing="1"/>
      </w:pPr>
      <w:r>
        <w:t xml:space="preserve">3.7. Размер стимулирующей выплаты работника за счет средств дополнительного </w:t>
      </w:r>
      <w:proofErr w:type="gramStart"/>
      <w:r>
        <w:t>финансирования  (</w:t>
      </w:r>
      <w:proofErr w:type="gramEnd"/>
      <w:r>
        <w:t>по итогам работы за период) рассчитывается как произведение количества баллов, набранных работником за стимулирующий период, и его ставки и стоимости одного балла,  выраженных в рублях.</w:t>
      </w:r>
    </w:p>
    <w:p>
      <w:pPr>
        <w:spacing w:before="100" w:beforeAutospacing="1" w:after="100" w:afterAutospacing="1"/>
      </w:pPr>
      <w:r>
        <w:t xml:space="preserve">3.8. Значение цены балла за стимулируемый период определяется на основании полученного объема дополнительных средств, направленных на </w:t>
      </w:r>
      <w:proofErr w:type="gramStart"/>
      <w:r>
        <w:t>цели  стимулирования</w:t>
      </w:r>
      <w:proofErr w:type="gramEnd"/>
      <w:r>
        <w:t>, и общего количества баллов набранных работниками учреждения за стимулируемый период и количества ставок.</w:t>
      </w:r>
    </w:p>
    <w:p>
      <w:pPr>
        <w:spacing w:before="100" w:beforeAutospacing="1" w:after="100" w:afterAutospacing="1"/>
      </w:pPr>
      <w:r>
        <w:t>3.9. Работникам, не имеющим оценочного листа, стимулирующая выплата выплачивается в фиксированном размере 50% от максимального балла и количества ставок.</w:t>
      </w:r>
    </w:p>
    <w:p>
      <w:pPr>
        <w:spacing w:before="100" w:beforeAutospacing="1" w:after="100" w:afterAutospacing="1"/>
        <w:jc w:val="center"/>
        <w:rPr>
          <w:b/>
        </w:rPr>
      </w:pPr>
      <w:r>
        <w:rPr>
          <w:b/>
        </w:rPr>
        <w:t>4. Заключение</w:t>
      </w:r>
    </w:p>
    <w:p>
      <w:pPr>
        <w:pStyle w:val="a3"/>
        <w:numPr>
          <w:ilvl w:val="1"/>
          <w:numId w:val="4"/>
        </w:numPr>
        <w:spacing w:before="100" w:beforeAutospacing="1" w:after="100" w:afterAutospacing="1"/>
      </w:pPr>
      <w:r>
        <w:t xml:space="preserve">  Настоящее </w:t>
      </w:r>
      <w:proofErr w:type="gramStart"/>
      <w:r>
        <w:t>Положение  действует</w:t>
      </w:r>
      <w:proofErr w:type="gramEnd"/>
      <w:r>
        <w:t xml:space="preserve">  до его отмены, изменения или замены новым.</w:t>
      </w:r>
    </w:p>
    <w:p>
      <w:pPr>
        <w:pStyle w:val="a3"/>
        <w:spacing w:before="100" w:beforeAutospacing="1" w:after="100" w:afterAutospacing="1"/>
        <w:ind w:left="360"/>
      </w:pPr>
    </w:p>
    <w:p>
      <w:pPr>
        <w:pStyle w:val="a3"/>
        <w:numPr>
          <w:ilvl w:val="1"/>
          <w:numId w:val="4"/>
        </w:numPr>
        <w:spacing w:before="100" w:beforeAutospacing="1" w:after="100" w:afterAutospacing="1"/>
      </w:pPr>
      <w:proofErr w:type="gramStart"/>
      <w:r>
        <w:t>Положение  принимается</w:t>
      </w:r>
      <w:proofErr w:type="gramEnd"/>
      <w:r>
        <w:t xml:space="preserve">  на общем собрании коллектива, согласовывается  с председателем профсоюзного комитета и утверждается приказом заведующего ДОУ.</w:t>
      </w:r>
    </w:p>
    <w:p>
      <w:pPr>
        <w:pStyle w:val="a3"/>
        <w:spacing w:before="100" w:beforeAutospacing="1" w:after="100" w:afterAutospacing="1"/>
        <w:ind w:left="360"/>
      </w:pPr>
    </w:p>
    <w:p>
      <w:pPr>
        <w:pStyle w:val="a3"/>
        <w:numPr>
          <w:ilvl w:val="1"/>
          <w:numId w:val="4"/>
        </w:numPr>
        <w:spacing w:before="100" w:beforeAutospacing="1" w:after="100" w:afterAutospacing="1"/>
      </w:pPr>
      <w:r>
        <w:t>С текстом настоящего Положения все сотрудники должны быть ознакомлены под роспись.</w:t>
      </w:r>
    </w:p>
    <w:p>
      <w:pPr>
        <w:pStyle w:val="a3"/>
        <w:spacing w:before="100" w:beforeAutospacing="1" w:after="100" w:afterAutospacing="1"/>
        <w:ind w:left="360"/>
      </w:pPr>
    </w:p>
    <w:p>
      <w:pPr>
        <w:pStyle w:val="a3"/>
        <w:numPr>
          <w:ilvl w:val="1"/>
          <w:numId w:val="4"/>
        </w:numPr>
        <w:spacing w:before="100" w:beforeAutospacing="1" w:after="100" w:afterAutospacing="1"/>
      </w:pPr>
      <w:r>
        <w:t>Настоящее положение вступает в силу с момента подписания.</w:t>
      </w:r>
    </w:p>
    <w:p>
      <w:pPr>
        <w:pStyle w:val="a3"/>
      </w:pPr>
    </w:p>
    <w:p>
      <w:pPr>
        <w:spacing w:before="100" w:beforeAutospacing="1" w:after="100" w:afterAutospacing="1"/>
        <w:jc w:val="right"/>
      </w:pPr>
      <w:r>
        <w:lastRenderedPageBreak/>
        <w:t>Приложение 1</w:t>
      </w:r>
    </w:p>
    <w:p>
      <w:pPr>
        <w:spacing w:before="100" w:beforeAutospacing="1" w:after="100" w:afterAutospacing="1"/>
        <w:rPr>
          <w:b/>
        </w:rPr>
      </w:pPr>
      <w:r>
        <w:rPr>
          <w:b/>
        </w:rPr>
        <w:t xml:space="preserve">Расчет </w:t>
      </w:r>
      <w:proofErr w:type="gramStart"/>
      <w:r>
        <w:rPr>
          <w:b/>
        </w:rPr>
        <w:t>стимулирующей  части</w:t>
      </w:r>
      <w:proofErr w:type="gramEnd"/>
      <w:r>
        <w:rPr>
          <w:b/>
        </w:rPr>
        <w:t xml:space="preserve"> заработной платы: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304"/>
        <w:gridCol w:w="3304"/>
        <w:gridCol w:w="3304"/>
      </w:tblGrid>
      <w:tr>
        <w:tc>
          <w:tcPr>
            <w:tcW w:w="3304" w:type="dxa"/>
          </w:tcPr>
          <w:p>
            <w:pPr>
              <w:spacing w:before="100" w:beforeAutospacing="1" w:after="100" w:afterAutospacing="1"/>
            </w:pPr>
            <w:r>
              <w:t>ставка</w:t>
            </w:r>
          </w:p>
        </w:tc>
        <w:tc>
          <w:tcPr>
            <w:tcW w:w="3304" w:type="dxa"/>
          </w:tcPr>
          <w:p>
            <w:pPr>
              <w:spacing w:before="100" w:beforeAutospacing="1" w:after="100" w:afterAutospacing="1"/>
            </w:pPr>
            <w:r>
              <w:t>Количество баллов</w:t>
            </w:r>
          </w:p>
        </w:tc>
        <w:tc>
          <w:tcPr>
            <w:tcW w:w="3304" w:type="dxa"/>
          </w:tcPr>
          <w:p>
            <w:pPr>
              <w:spacing w:before="100" w:beforeAutospacing="1" w:after="100" w:afterAutospacing="1"/>
            </w:pPr>
            <w:r>
              <w:t>Ставка * балл</w:t>
            </w:r>
          </w:p>
        </w:tc>
      </w:tr>
      <w:tr>
        <w:tc>
          <w:tcPr>
            <w:tcW w:w="3304" w:type="dxa"/>
          </w:tcPr>
          <w:p>
            <w:pPr>
              <w:spacing w:before="100" w:beforeAutospacing="1" w:after="100" w:afterAutospacing="1"/>
            </w:pPr>
            <w:r>
              <w:t>0,5</w:t>
            </w:r>
          </w:p>
        </w:tc>
        <w:tc>
          <w:tcPr>
            <w:tcW w:w="3304" w:type="dxa"/>
          </w:tcPr>
          <w:p>
            <w:pPr>
              <w:spacing w:before="100" w:beforeAutospacing="1" w:after="100" w:afterAutospacing="1"/>
            </w:pPr>
            <w:r>
              <w:t>30</w:t>
            </w:r>
          </w:p>
        </w:tc>
        <w:tc>
          <w:tcPr>
            <w:tcW w:w="3304" w:type="dxa"/>
          </w:tcPr>
          <w:p>
            <w:pPr>
              <w:spacing w:before="100" w:beforeAutospacing="1" w:after="100" w:afterAutospacing="1"/>
            </w:pPr>
            <w:r>
              <w:t>15</w:t>
            </w:r>
          </w:p>
        </w:tc>
      </w:tr>
      <w:tr>
        <w:tc>
          <w:tcPr>
            <w:tcW w:w="3304" w:type="dxa"/>
          </w:tcPr>
          <w:p>
            <w:pPr>
              <w:spacing w:before="100" w:beforeAutospacing="1" w:after="100" w:afterAutospacing="1"/>
            </w:pPr>
            <w:r>
              <w:t>1</w:t>
            </w:r>
          </w:p>
        </w:tc>
        <w:tc>
          <w:tcPr>
            <w:tcW w:w="3304" w:type="dxa"/>
          </w:tcPr>
          <w:p>
            <w:pPr>
              <w:spacing w:before="100" w:beforeAutospacing="1" w:after="100" w:afterAutospacing="1"/>
            </w:pPr>
            <w:r>
              <w:t>45</w:t>
            </w:r>
          </w:p>
        </w:tc>
        <w:tc>
          <w:tcPr>
            <w:tcW w:w="3304" w:type="dxa"/>
          </w:tcPr>
          <w:p>
            <w:pPr>
              <w:spacing w:before="100" w:beforeAutospacing="1" w:after="100" w:afterAutospacing="1"/>
            </w:pPr>
            <w:r>
              <w:t>45</w:t>
            </w:r>
          </w:p>
        </w:tc>
      </w:tr>
      <w:tr>
        <w:tc>
          <w:tcPr>
            <w:tcW w:w="3304" w:type="dxa"/>
          </w:tcPr>
          <w:p>
            <w:pPr>
              <w:spacing w:before="100" w:beforeAutospacing="1" w:after="100" w:afterAutospacing="1"/>
            </w:pPr>
            <w:r>
              <w:t>1,5</w:t>
            </w:r>
          </w:p>
        </w:tc>
        <w:tc>
          <w:tcPr>
            <w:tcW w:w="3304" w:type="dxa"/>
          </w:tcPr>
          <w:p>
            <w:pPr>
              <w:spacing w:before="100" w:beforeAutospacing="1" w:after="100" w:afterAutospacing="1"/>
            </w:pPr>
            <w:r>
              <w:t xml:space="preserve">40 </w:t>
            </w:r>
          </w:p>
        </w:tc>
        <w:tc>
          <w:tcPr>
            <w:tcW w:w="3304" w:type="dxa"/>
          </w:tcPr>
          <w:p>
            <w:pPr>
              <w:spacing w:before="100" w:beforeAutospacing="1" w:after="100" w:afterAutospacing="1"/>
            </w:pPr>
            <w:r>
              <w:t>60</w:t>
            </w:r>
          </w:p>
        </w:tc>
      </w:tr>
    </w:tbl>
    <w:p>
      <w:pPr>
        <w:spacing w:before="100" w:beforeAutospacing="1" w:after="100" w:afterAutospacing="1"/>
        <w:rPr>
          <w:b/>
        </w:rPr>
      </w:pPr>
      <w:r>
        <w:rPr>
          <w:b/>
        </w:rPr>
        <w:t xml:space="preserve"> Стоимость одного балла сотрудника при распределении</w:t>
      </w:r>
    </w:p>
    <w:p>
      <w:pPr>
        <w:spacing w:before="100" w:beforeAutospacing="1" w:after="100" w:afterAutospacing="1"/>
      </w:pPr>
      <w:r>
        <w:t xml:space="preserve">Общая сумма – 10 000 </w:t>
      </w:r>
      <w:proofErr w:type="spellStart"/>
      <w:r>
        <w:t>т.р</w:t>
      </w:r>
      <w:proofErr w:type="spellEnd"/>
      <w:r>
        <w:t xml:space="preserve">. </w:t>
      </w:r>
    </w:p>
    <w:p>
      <w:pPr>
        <w:spacing w:before="100" w:beforeAutospacing="1" w:after="100" w:afterAutospacing="1"/>
      </w:pPr>
      <w:r>
        <w:t>Складываются все баллы сотрудников -  15 + 45+ 60 = 120 б</w:t>
      </w:r>
    </w:p>
    <w:p>
      <w:pPr>
        <w:spacing w:before="100" w:beforeAutospacing="1" w:after="100" w:afterAutospacing="1"/>
      </w:pPr>
      <w:r>
        <w:t xml:space="preserve">Стоимость одного балла -  общая </w:t>
      </w:r>
      <w:proofErr w:type="gramStart"/>
      <w:r>
        <w:t>сумма  выделенная</w:t>
      </w:r>
      <w:proofErr w:type="gramEnd"/>
      <w:r>
        <w:t xml:space="preserve"> на премию : на общую сумму баллов</w:t>
      </w:r>
    </w:p>
    <w:p>
      <w:pPr>
        <w:spacing w:before="100" w:beforeAutospacing="1" w:after="100" w:afterAutospacing="1"/>
      </w:pPr>
      <w:r>
        <w:t xml:space="preserve">                                                      10 000 </w:t>
      </w:r>
      <w:proofErr w:type="spellStart"/>
      <w:r>
        <w:t>т.р</w:t>
      </w:r>
      <w:proofErr w:type="spellEnd"/>
      <w:r>
        <w:t xml:space="preserve">.  </w:t>
      </w:r>
      <w:proofErr w:type="gramStart"/>
      <w:r>
        <w:t xml:space="preserve">  :</w:t>
      </w:r>
      <w:proofErr w:type="gramEnd"/>
      <w:r>
        <w:t xml:space="preserve">  120 б. = 83,30 коп. стоит один балла </w:t>
      </w:r>
    </w:p>
    <w:p>
      <w:pPr>
        <w:spacing w:before="100" w:beforeAutospacing="1" w:after="100" w:afterAutospacing="1"/>
        <w:rPr>
          <w:b/>
        </w:rPr>
      </w:pPr>
      <w:r>
        <w:rPr>
          <w:b/>
        </w:rPr>
        <w:t>Начисление сотруднику:</w:t>
      </w:r>
    </w:p>
    <w:p>
      <w:pPr>
        <w:spacing w:before="100" w:beforeAutospacing="1" w:after="100" w:afterAutospacing="1"/>
      </w:pPr>
      <w:r>
        <w:t xml:space="preserve">Берется балл по критериям, умножается </w:t>
      </w:r>
      <w:proofErr w:type="gramStart"/>
      <w:r>
        <w:t>на  стоимость</w:t>
      </w:r>
      <w:proofErr w:type="gramEnd"/>
      <w:r>
        <w:t xml:space="preserve"> одного балла, получается сумма начисления.</w:t>
      </w:r>
    </w:p>
    <w:p>
      <w:pPr>
        <w:spacing w:before="100" w:beforeAutospacing="1" w:after="100" w:afterAutospacing="1"/>
      </w:pPr>
      <w:proofErr w:type="gramStart"/>
      <w:r>
        <w:t>Например:  у</w:t>
      </w:r>
      <w:proofErr w:type="gramEnd"/>
      <w:r>
        <w:t xml:space="preserve"> сотрудника 60 б. *  83,30 (на стоимость одного балла) =  143,30 коп.</w:t>
      </w:r>
    </w:p>
    <w:p>
      <w:pPr>
        <w:spacing w:before="100" w:beforeAutospacing="1" w:after="100" w:afterAutospacing="1"/>
        <w:rPr>
          <w:b/>
        </w:rPr>
      </w:pPr>
      <w:r>
        <w:t xml:space="preserve">  </w:t>
      </w:r>
      <w:r>
        <w:rPr>
          <w:b/>
        </w:rPr>
        <w:t>ОЗНАКОМЛЕНЫ</w:t>
      </w:r>
    </w:p>
    <w:p>
      <w:pPr>
        <w:spacing w:before="100" w:beforeAutospacing="1" w:after="100" w:afterAutospacing="1"/>
      </w:pPr>
      <w:r>
        <w:t xml:space="preserve">Воспитатели Детского </w:t>
      </w:r>
      <w:proofErr w:type="gramStart"/>
      <w:r>
        <w:t>сада  комбинированного</w:t>
      </w:r>
      <w:proofErr w:type="gramEnd"/>
      <w:r>
        <w:t xml:space="preserve"> вида № 29:</w:t>
      </w:r>
    </w:p>
    <w:p>
      <w:r>
        <w:t>__________________________________________________________________________________</w:t>
      </w:r>
    </w:p>
    <w:p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/>
    <w:p/>
    <w:sectPr>
      <w:pgSz w:w="11906" w:h="16838"/>
      <w:pgMar w:top="567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4A7165"/>
    <w:multiLevelType w:val="hybridMultilevel"/>
    <w:tmpl w:val="230AAC7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5F04A6A"/>
    <w:multiLevelType w:val="multilevel"/>
    <w:tmpl w:val="BB24E0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5ECD19E6"/>
    <w:multiLevelType w:val="multilevel"/>
    <w:tmpl w:val="7AE2A5F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79045D13"/>
    <w:multiLevelType w:val="hybridMultilevel"/>
    <w:tmpl w:val="D69A50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8FCE10-7CC8-488D-B67C-2F8EB4DDC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Pr>
      <w:rFonts w:ascii="Segoe UI" w:eastAsia="Times New Roman" w:hAnsi="Segoe UI" w:cs="Segoe UI"/>
      <w:sz w:val="18"/>
      <w:szCs w:val="18"/>
      <w:lang w:eastAsia="ru-RU"/>
    </w:rPr>
  </w:style>
  <w:style w:type="table" w:styleId="a6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684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9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988</Words>
  <Characters>5632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Korytko</dc:creator>
  <cp:keywords/>
  <dc:description/>
  <cp:lastModifiedBy>Korytko</cp:lastModifiedBy>
  <cp:revision>6</cp:revision>
  <cp:lastPrinted>2024-03-09T04:35:00Z</cp:lastPrinted>
  <dcterms:created xsi:type="dcterms:W3CDTF">2024-03-03T09:12:00Z</dcterms:created>
  <dcterms:modified xsi:type="dcterms:W3CDTF">2024-03-14T07:16:00Z</dcterms:modified>
</cp:coreProperties>
</file>